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5.png" ContentType="image/png"/>
  <Override PartName="/word/media/rId4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9"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(1–4)</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(5)</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oMath>
      </m:oMathPara>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(6)</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(7)</w:t>
      </w:r>
      <w:r>
        <w:t xml:space="preserve"> </w:t>
      </w:r>
      <w:r>
        <w:t xml:space="preserve">in R was used to perform the PCA and to obtain the loadings for</w:t>
      </w:r>
      <w:r>
        <w:t xml:space="preserve"> </w:t>
      </w:r>
      <w:r>
        <w:t xml:space="preserve">downstream analysis.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(8)</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(9)</w:t>
      </w:r>
      <w:r>
        <w:t xml:space="preserve"> </w:t>
      </w:r>
      <w:r>
        <w:t xml:space="preserve">and the hallmark collection from the molecular signature</w:t>
      </w:r>
      <w:r>
        <w:t xml:space="preserve"> </w:t>
      </w:r>
      <w:r>
        <w:t xml:space="preserve">database</w:t>
      </w:r>
      <w:r>
        <w:t xml:space="preserve"> </w:t>
      </w:r>
      <w:r>
        <w:t xml:space="preserve">(10,11)</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(12)</w:t>
      </w:r>
      <w:r>
        <w:t xml:space="preserve">.</w:t>
      </w:r>
      <w:r>
        <w:t xml:space="preserve"> </w:t>
      </w:r>
      <w:r>
        <w:t xml:space="preserve">The package</w:t>
      </w:r>
      <w:r>
        <w:t xml:space="preserve"> </w:t>
      </w:r>
      <w:r>
        <w:rPr>
          <w:rStyle w:val="VerbatimChar"/>
        </w:rPr>
        <w:t xml:space="preserve">tidybayes</w:t>
      </w:r>
      <w:r>
        <w:t xml:space="preserve"> </w:t>
      </w:r>
      <w:r>
        <w:t xml:space="preserve">(13)</w:t>
      </w:r>
      <w:r>
        <w:t xml:space="preserve"> </w:t>
      </w:r>
      <w:r>
        <w:t xml:space="preserve">was used to extract</w:t>
      </w:r>
      <w:r>
        <w:t xml:space="preserve"> </w:t>
      </w:r>
      <w:r>
        <w:t xml:space="preserve">the draws and put them in a tidy format.</w:t>
      </w:r>
    </w:p>
    <w:bookmarkEnd w:id="27"/>
    <w:bookmarkStart w:id="28" w:name="code-availability"/>
    <w:p>
      <w:pPr>
        <w:pStyle w:val="Heading2"/>
      </w:pPr>
      <w:r>
        <w:t xml:space="preserve">Code availability</w:t>
      </w:r>
    </w:p>
    <w:p>
      <w:pPr>
        <w:pStyle w:val="FirstParagraph"/>
      </w:pPr>
      <w:r>
        <w:t xml:space="preserve">The code used to generate all the analysis is available on</w:t>
      </w:r>
      <w:r>
        <w:t xml:space="preserve"> </w:t>
      </w:r>
      <w:r>
        <w:t xml:space="preserve">https://github.com/chronchi/molecular_landscape. Descriptions for</w:t>
      </w:r>
      <w:r>
        <w:t xml:space="preserve"> </w:t>
      </w:r>
      <w:r>
        <w:t xml:space="preserve">a docker image to reproduce the analysis are available on the github</w:t>
      </w:r>
      <w:r>
        <w:t xml:space="preserve"> </w:t>
      </w:r>
      <w:r>
        <w:t xml:space="preserve">repository.</w:t>
      </w:r>
    </w:p>
    <w:bookmarkEnd w:id="28"/>
    <w:bookmarkEnd w:id="29"/>
    <w:bookmarkStart w:id="50" w:name="results"/>
    <w:p>
      <w:pPr>
        <w:pStyle w:val="Heading1"/>
      </w:pPr>
      <w:r>
        <w:t xml:space="preserve">Results</w:t>
      </w:r>
    </w:p>
    <w:bookmarkStart w:id="34"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(10)</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(9)</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33" w:name="fig-01"/>
          <w:p>
            <w:pPr>
              <w:pStyle w:val="Figure"/>
              <w:jc w:val="center"/>
            </w:pPr>
            <w:r>
              <w:drawing>
                <wp:inline>
                  <wp:extent cx="5334000" cy="4124722"/>
                  <wp:effectExtent b="0" l="0" r="0" t="0"/>
                  <wp:docPr descr="" title="" id="31" name="Picture"/>
                  <a:graphic>
                    <a:graphicData uri="http://schemas.openxmlformats.org/drawingml/2006/picture">
                      <pic:pic>
                        <pic:nvPicPr>
                          <pic:cNvPr descr="images/png/figure01.png" id="32" name="Picture"/>
                          <pic:cNvPicPr>
                            <a:picLocks noChangeArrowheads="1" noChangeAspect="1"/>
                          </pic:cNvPicPr>
                        </pic:nvPicPr>
                        <pic:blipFill>
                          <a:blip r:embed="rId30"/>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3"/>
        </w:tc>
      </w:tr>
    </w:tbl>
    <w:bookmarkEnd w:id="34"/>
    <w:bookmarkStart w:id="39"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8" w:name="fig-02"/>
          <w:p>
            <w:pPr>
              <w:pStyle w:val="Figure"/>
              <w:jc w:val="center"/>
            </w:pPr>
            <w:r>
              <w:drawing>
                <wp:inline>
                  <wp:extent cx="5334000" cy="3816653"/>
                  <wp:effectExtent b="0" l="0" r="0" t="0"/>
                  <wp:docPr descr="" title="" id="36" name="Picture"/>
                  <a:graphic>
                    <a:graphicData uri="http://schemas.openxmlformats.org/drawingml/2006/picture">
                      <pic:pic>
                        <pic:nvPicPr>
                          <pic:cNvPr descr="images/png/figure02.png" id="37" name="Picture"/>
                          <pic:cNvPicPr>
                            <a:picLocks noChangeArrowheads="1" noChangeAspect="1"/>
                          </pic:cNvPicPr>
                        </pic:nvPicPr>
                        <pic:blipFill>
                          <a:blip r:embed="rId35"/>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8"/>
        </w:tc>
      </w:tr>
    </w:tbl>
    <w:bookmarkEnd w:id="39"/>
    <w:bookmarkStart w:id="44"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43" w:name="fig-03"/>
          <w:p>
            <w:pPr>
              <w:pStyle w:val="Figure"/>
              <w:jc w:val="center"/>
            </w:pPr>
            <w:r>
              <w:drawing>
                <wp:inline>
                  <wp:extent cx="5334000" cy="5626902"/>
                  <wp:effectExtent b="0" l="0" r="0" t="0"/>
                  <wp:docPr descr="" title="" id="41" name="Picture"/>
                  <a:graphic>
                    <a:graphicData uri="http://schemas.openxmlformats.org/drawingml/2006/picture">
                      <pic:pic>
                        <pic:nvPicPr>
                          <pic:cNvPr descr="images/png/figure03.png" id="42" name="Picture"/>
                          <pic:cNvPicPr>
                            <a:picLocks noChangeArrowheads="1" noChangeAspect="1"/>
                          </pic:cNvPicPr>
                        </pic:nvPicPr>
                        <pic:blipFill>
                          <a:blip r:embed="rId40"/>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3"/>
        </w:tc>
      </w:tr>
    </w:tbl>
    <w:bookmarkEnd w:id="44"/>
    <w:bookmarkStart w:id="49"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(14)</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(4)</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 Moreover,</w:t>
      </w:r>
      <w:r>
        <w:t xml:space="preserve"> </w:t>
      </w:r>
      <w:r>
        <w:t xml:space="preserve">given 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48" w:name="fig-04"/>
          <w:p>
            <w:pPr>
              <w:pStyle w:val="Figure"/>
              <w:jc w:val="center"/>
            </w:pPr>
            <w:r>
              <w:drawing>
                <wp:inline>
                  <wp:extent cx="5334000" cy="2761522"/>
                  <wp:effectExtent b="0" l="0" r="0" t="0"/>
                  <wp:docPr descr="" title="" id="46" name="Picture"/>
                  <a:graphic>
                    <a:graphicData uri="http://schemas.openxmlformats.org/drawingml/2006/picture">
                      <pic:pic>
                        <pic:nvPicPr>
                          <pic:cNvPr descr="images/png/figure04.png" id="47" name="Picture"/>
                          <pic:cNvPicPr>
                            <a:picLocks noChangeArrowheads="1" noChangeAspect="1"/>
                          </pic:cNvPicPr>
                        </pic:nvPicPr>
                        <pic:blipFill>
                          <a:blip r:embed="rId45"/>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8"/>
        </w:tc>
      </w:tr>
    </w:tbl>
    <w:bookmarkEnd w:id="49"/>
    <w:bookmarkEnd w:id="50"/>
    <w:bookmarkStart w:id="51" w:name="discussion"/>
    <w:p>
      <w:pPr>
        <w:pStyle w:val="Heading1"/>
      </w:pPr>
      <w:r>
        <w:t xml:space="preserve">Discussion</w:t>
      </w:r>
    </w:p>
    <w:bookmarkEnd w:id="51"/>
    <w:bookmarkStart w:id="80" w:name="references"/>
    <w:p>
      <w:pPr>
        <w:pStyle w:val="Heading1"/>
      </w:pPr>
      <w:r>
        <w:t xml:space="preserve">References</w:t>
      </w:r>
    </w:p>
    <w:bookmarkStart w:id="79" w:name="refs"/>
    <w:bookmarkStart w:id="53" w:name="ref-tcgabrca"/>
    <w:p>
      <w:pPr>
        <w:pStyle w:val="Bibliography"/>
      </w:pPr>
      <w:r>
        <w:t xml:space="preserve">1.</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52">
        <w:r>
          <w:rPr>
            <w:rStyle w:val="Hyperlink"/>
          </w:rPr>
          <w:t xml:space="preserve">https://doi.org/10.1038/nature11412</w:t>
        </w:r>
      </w:hyperlink>
    </w:p>
    <w:bookmarkEnd w:id="53"/>
    <w:bookmarkStart w:id="55" w:name="ref-Saal2015"/>
    <w:p>
      <w:pPr>
        <w:pStyle w:val="Bibliography"/>
      </w:pPr>
      <w:r>
        <w:t xml:space="preserve">2.</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54">
        <w:r>
          <w:rPr>
            <w:rStyle w:val="Hyperlink"/>
          </w:rPr>
          <w:t xml:space="preserve">https://doi.org/10.1186/s13073-015-0131-9</w:t>
        </w:r>
      </w:hyperlink>
    </w:p>
    <w:bookmarkEnd w:id="55"/>
    <w:bookmarkStart w:id="57"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56">
        <w:r>
          <w:rPr>
            <w:rStyle w:val="Hyperlink"/>
          </w:rPr>
          <w:t xml:space="preserve">https://doi.org/10.1038/nature10983</w:t>
        </w:r>
      </w:hyperlink>
    </w:p>
    <w:bookmarkEnd w:id="57"/>
    <w:bookmarkStart w:id="59" w:name="ref-Gao2019"/>
    <w:p>
      <w:pPr>
        <w:pStyle w:val="Bibliography"/>
      </w:pPr>
      <w:r>
        <w:t xml:space="preserve">4.</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58">
        <w:r>
          <w:rPr>
            <w:rStyle w:val="Hyperlink"/>
          </w:rPr>
          <w:t xml:space="preserve">https://doi.org/10.1186/s13058-019-1223-z</w:t>
        </w:r>
      </w:hyperlink>
    </w:p>
    <w:bookmarkEnd w:id="59"/>
    <w:bookmarkStart w:id="60" w:name="ref-geoquery"/>
    <w:p>
      <w:pPr>
        <w:pStyle w:val="Bibliography"/>
      </w:pPr>
      <w:r>
        <w:t xml:space="preserve">5.</w:t>
      </w:r>
      <w:r>
        <w:t xml:space="preserve"> </w:t>
      </w:r>
      <w:r>
        <w:t xml:space="preserve">	</w:t>
      </w:r>
      <w:r>
        <w:t xml:space="preserve">Davis S, Meltzer P. GEOquery: A bridge between the gene expression omnibus (GEO) and BioConductor. Bioinformatics. 2007;14:1846–7.</w:t>
      </w:r>
      <w:r>
        <w:t xml:space="preserve"> </w:t>
      </w:r>
    </w:p>
    <w:bookmarkEnd w:id="60"/>
    <w:bookmarkStart w:id="62" w:name="ref-Bhuva2020"/>
    <w:p>
      <w:pPr>
        <w:pStyle w:val="Bibliography"/>
      </w:pPr>
      <w:r>
        <w:t xml:space="preserve">6.</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61">
        <w:r>
          <w:rPr>
            <w:rStyle w:val="Hyperlink"/>
          </w:rPr>
          <w:t xml:space="preserve">https://doi.org/10.1093/nar/gkaa802</w:t>
        </w:r>
      </w:hyperlink>
    </w:p>
    <w:bookmarkEnd w:id="62"/>
    <w:bookmarkStart w:id="64" w:name="ref-Blighe2022"/>
    <w:p>
      <w:pPr>
        <w:pStyle w:val="Bibliography"/>
      </w:pPr>
      <w:r>
        <w:t xml:space="preserve">7.</w:t>
      </w:r>
      <w:r>
        <w:t xml:space="preserve"> </w:t>
      </w:r>
      <w:r>
        <w:t xml:space="preserve">	</w:t>
      </w:r>
      <w:r>
        <w:t xml:space="preserve">Blighe K, Lun A. PCAtools: PCAtools: Everything principal components analysis [Internet]. 2022. Available from:</w:t>
      </w:r>
      <w:r>
        <w:t xml:space="preserve"> </w:t>
      </w:r>
      <w:hyperlink r:id="rId63">
        <w:r>
          <w:rPr>
            <w:rStyle w:val="Hyperlink"/>
          </w:rPr>
          <w:t xml:space="preserve">https://github.com/kevinblighe/PCAtools</w:t>
        </w:r>
      </w:hyperlink>
    </w:p>
    <w:bookmarkEnd w:id="64"/>
    <w:bookmarkStart w:id="66" w:name="ref-Hnzelmann2013"/>
    <w:p>
      <w:pPr>
        <w:pStyle w:val="Bibliography"/>
      </w:pPr>
      <w:r>
        <w:t xml:space="preserve">8.</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65">
        <w:r>
          <w:rPr>
            <w:rStyle w:val="Hyperlink"/>
          </w:rPr>
          <w:t xml:space="preserve">https://doi.org/10.1186/1471-2105-14-7</w:t>
        </w:r>
      </w:hyperlink>
    </w:p>
    <w:bookmarkEnd w:id="66"/>
    <w:bookmarkStart w:id="68" w:name="ref-Sinn2019"/>
    <w:p>
      <w:pPr>
        <w:pStyle w:val="Bibliography"/>
      </w:pPr>
      <w:r>
        <w:t xml:space="preserve">9.</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67">
        <w:r>
          <w:rPr>
            <w:rStyle w:val="Hyperlink"/>
          </w:rPr>
          <w:t xml:space="preserve">https://doi.org/10.1038/s41523-019-0111-0</w:t>
        </w:r>
      </w:hyperlink>
    </w:p>
    <w:bookmarkEnd w:id="68"/>
    <w:bookmarkStart w:id="70" w:name="ref-Subramanian2005"/>
    <w:p>
      <w:pPr>
        <w:pStyle w:val="Bibliography"/>
      </w:pPr>
      <w:r>
        <w:t xml:space="preserve">10.</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69">
        <w:r>
          <w:rPr>
            <w:rStyle w:val="Hyperlink"/>
          </w:rPr>
          <w:t xml:space="preserve">https://doi.org/10.1073/pnas.0506580102</w:t>
        </w:r>
      </w:hyperlink>
    </w:p>
    <w:bookmarkEnd w:id="70"/>
    <w:bookmarkStart w:id="72" w:name="ref-Mootha2003"/>
    <w:p>
      <w:pPr>
        <w:pStyle w:val="Bibliography"/>
      </w:pPr>
      <w:r>
        <w:t xml:space="preserve">11.</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71">
        <w:r>
          <w:rPr>
            <w:rStyle w:val="Hyperlink"/>
          </w:rPr>
          <w:t xml:space="preserve">https://doi.org/10.1038/ng1180</w:t>
        </w:r>
      </w:hyperlink>
    </w:p>
    <w:bookmarkEnd w:id="72"/>
    <w:bookmarkStart w:id="74" w:name="ref-Goodrich2022"/>
    <w:p>
      <w:pPr>
        <w:pStyle w:val="Bibliography"/>
      </w:pPr>
      <w:r>
        <w:t xml:space="preserve">12.</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73">
        <w:r>
          <w:rPr>
            <w:rStyle w:val="Hyperlink"/>
          </w:rPr>
          <w:t xml:space="preserve">https://mc-stan.org/rstanarm/</w:t>
        </w:r>
      </w:hyperlink>
    </w:p>
    <w:bookmarkEnd w:id="74"/>
    <w:bookmarkStart w:id="76" w:name="ref-Kay2022"/>
    <w:p>
      <w:pPr>
        <w:pStyle w:val="Bibliography"/>
      </w:pPr>
      <w:r>
        <w:t xml:space="preserve">13.</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75">
        <w:r>
          <w:rPr>
            <w:rStyle w:val="Hyperlink"/>
          </w:rPr>
          <w:t xml:space="preserve">http://mjskay.github.io/tidybayes/</w:t>
        </w:r>
      </w:hyperlink>
    </w:p>
    <w:bookmarkEnd w:id="76"/>
    <w:bookmarkStart w:id="78" w:name="ref-Dowsett2011"/>
    <w:p>
      <w:pPr>
        <w:pStyle w:val="Bibliography"/>
      </w:pPr>
      <w:r>
        <w:t xml:space="preserve">14.</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77">
        <w:r>
          <w:rPr>
            <w:rStyle w:val="Hyperlink"/>
          </w:rPr>
          <w:t xml:space="preserve">https://doi.org/10.1093/jncimonographs/lgr034</w:t>
        </w:r>
      </w:hyperlink>
    </w:p>
    <w:bookmarkEnd w:id="78"/>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75" Target="http://mjskay.github.io/tidybayes/" TargetMode="External" /><Relationship Type="http://schemas.openxmlformats.org/officeDocument/2006/relationships/hyperlink" Id="rId56" Target="https://doi.org/10.1038/nature10983" TargetMode="External" /><Relationship Type="http://schemas.openxmlformats.org/officeDocument/2006/relationships/hyperlink" Id="rId52" Target="https://doi.org/10.1038/nature11412" TargetMode="External" /><Relationship Type="http://schemas.openxmlformats.org/officeDocument/2006/relationships/hyperlink" Id="rId71" Target="https://doi.org/10.1038/ng1180" TargetMode="External" /><Relationship Type="http://schemas.openxmlformats.org/officeDocument/2006/relationships/hyperlink" Id="rId67" Target="https://doi.org/10.1038/s41523-019-0111-0" TargetMode="External" /><Relationship Type="http://schemas.openxmlformats.org/officeDocument/2006/relationships/hyperlink" Id="rId69" Target="https://doi.org/10.1073/pnas.0506580102" TargetMode="External" /><Relationship Type="http://schemas.openxmlformats.org/officeDocument/2006/relationships/hyperlink" Id="rId77" Target="https://doi.org/10.1093/jncimonographs/lgr034" TargetMode="External" /><Relationship Type="http://schemas.openxmlformats.org/officeDocument/2006/relationships/hyperlink" Id="rId61" Target="https://doi.org/10.1093/nar/gkaa802" TargetMode="External" /><Relationship Type="http://schemas.openxmlformats.org/officeDocument/2006/relationships/hyperlink" Id="rId65" Target="https://doi.org/10.1186/1471-2105-14-7" TargetMode="External" /><Relationship Type="http://schemas.openxmlformats.org/officeDocument/2006/relationships/hyperlink" Id="rId58" Target="https://doi.org/10.1186/s13058-019-1223-z" TargetMode="External" /><Relationship Type="http://schemas.openxmlformats.org/officeDocument/2006/relationships/hyperlink" Id="rId54" Target="https://doi.org/10.1186/s13073-015-0131-9" TargetMode="External" /><Relationship Type="http://schemas.openxmlformats.org/officeDocument/2006/relationships/hyperlink" Id="rId63" Target="https://github.com/kevinblighe/PCAtools" TargetMode="External" /><Relationship Type="http://schemas.openxmlformats.org/officeDocument/2006/relationships/hyperlink" Id="rId73"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75" Target="http://mjskay.github.io/tidybayes/" TargetMode="External" /><Relationship Type="http://schemas.openxmlformats.org/officeDocument/2006/relationships/hyperlink" Id="rId56" Target="https://doi.org/10.1038/nature10983" TargetMode="External" /><Relationship Type="http://schemas.openxmlformats.org/officeDocument/2006/relationships/hyperlink" Id="rId52" Target="https://doi.org/10.1038/nature11412" TargetMode="External" /><Relationship Type="http://schemas.openxmlformats.org/officeDocument/2006/relationships/hyperlink" Id="rId71" Target="https://doi.org/10.1038/ng1180" TargetMode="External" /><Relationship Type="http://schemas.openxmlformats.org/officeDocument/2006/relationships/hyperlink" Id="rId67" Target="https://doi.org/10.1038/s41523-019-0111-0" TargetMode="External" /><Relationship Type="http://schemas.openxmlformats.org/officeDocument/2006/relationships/hyperlink" Id="rId69" Target="https://doi.org/10.1073/pnas.0506580102" TargetMode="External" /><Relationship Type="http://schemas.openxmlformats.org/officeDocument/2006/relationships/hyperlink" Id="rId77" Target="https://doi.org/10.1093/jncimonographs/lgr034" TargetMode="External" /><Relationship Type="http://schemas.openxmlformats.org/officeDocument/2006/relationships/hyperlink" Id="rId61" Target="https://doi.org/10.1093/nar/gkaa802" TargetMode="External" /><Relationship Type="http://schemas.openxmlformats.org/officeDocument/2006/relationships/hyperlink" Id="rId65" Target="https://doi.org/10.1186/1471-2105-14-7" TargetMode="External" /><Relationship Type="http://schemas.openxmlformats.org/officeDocument/2006/relationships/hyperlink" Id="rId58" Target="https://doi.org/10.1186/s13058-019-1223-z" TargetMode="External" /><Relationship Type="http://schemas.openxmlformats.org/officeDocument/2006/relationships/hyperlink" Id="rId54" Target="https://doi.org/10.1186/s13073-015-0131-9" TargetMode="External" /><Relationship Type="http://schemas.openxmlformats.org/officeDocument/2006/relationships/hyperlink" Id="rId63" Target="https://github.com/kevinblighe/PCAtools" TargetMode="External" /><Relationship Type="http://schemas.openxmlformats.org/officeDocument/2006/relationships/hyperlink" Id="rId73"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2022-09-28T07:47:20Z</dcterms:created>
  <dcterms:modified xsi:type="dcterms:W3CDTF">2022-09-28T07:47:20Z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